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Arial" w:cs="Arial" w:eastAsia="Arial" w:hAnsi="Arial"/>
          <w:b w:val="1"/>
          <w:sz w:val="40"/>
          <w:szCs w:val="40"/>
          <w:rtl w:val="0"/>
        </w:rPr>
        <w:t xml:space="preserve">Reading and Writing for Assessment</w:t>
      </w:r>
    </w:p>
    <w:p w:rsidR="00000000" w:rsidDel="00000000" w:rsidP="00000000" w:rsidRDefault="00000000" w:rsidRPr="00000000">
      <w:pPr>
        <w:spacing w:after="180" w:before="0" w:line="259" w:lineRule="auto"/>
        <w:contextualSpacing w:val="0"/>
      </w:pPr>
      <w:r w:rsidDel="00000000" w:rsidR="00000000" w:rsidRPr="00000000">
        <w:rPr>
          <w:rFonts w:ascii="Arial" w:cs="Arial" w:eastAsia="Arial" w:hAnsi="Arial"/>
          <w:b w:val="1"/>
          <w:color w:val="000000"/>
          <w:sz w:val="32"/>
          <w:szCs w:val="32"/>
          <w:rtl w:val="0"/>
        </w:rPr>
        <w:t xml:space="preserve">Analyzing </w:t>
      </w:r>
      <w:r w:rsidDel="00000000" w:rsidR="00000000" w:rsidRPr="00000000">
        <w:rPr>
          <w:rFonts w:ascii="Arial" w:cs="Arial" w:eastAsia="Arial" w:hAnsi="Arial"/>
          <w:b w:val="0"/>
          <w:color w:val="000000"/>
          <w:sz w:val="32"/>
          <w:szCs w:val="32"/>
          <w:rtl w:val="0"/>
        </w:rPr>
        <w:t xml:space="preserve">Writing Prompts</w:t>
      </w:r>
      <w:r w:rsidDel="00000000" w:rsidR="00000000" w:rsidRPr="00000000">
        <w:rPr>
          <w:rtl w:val="0"/>
        </w:rPr>
      </w:r>
    </w:p>
    <w:tbl>
      <w:tblPr>
        <w:tblStyle w:val="Table1"/>
        <w:bidi w:val="0"/>
        <w:tblW w:w="945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4950"/>
        <w:gridCol w:w="990"/>
        <w:gridCol w:w="2160"/>
        <w:tblGridChange w:id="0">
          <w:tblGrid>
            <w:gridCol w:w="1350"/>
            <w:gridCol w:w="4950"/>
            <w:gridCol w:w="990"/>
            <w:gridCol w:w="2160"/>
          </w:tblGrid>
        </w:tblGridChange>
      </w:tblGrid>
      <w:tr>
        <w:trPr>
          <w:trHeight w:val="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Student:</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Date: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1"/>
          <w:color w:val="000000"/>
          <w:sz w:val="24"/>
          <w:szCs w:val="24"/>
          <w:rtl w:val="0"/>
        </w:rPr>
        <w:t xml:space="preserve">Analyze writing prompts.</w:t>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0"/>
          <w:color w:val="000000"/>
          <w:sz w:val="24"/>
          <w:szCs w:val="24"/>
          <w:rtl w:val="0"/>
        </w:rPr>
        <w:t xml:space="preserve">Read each writing prompt that follows. Answer the </w:t>
      </w:r>
      <w:r w:rsidDel="00000000" w:rsidR="00000000" w:rsidRPr="00000000">
        <w:rPr>
          <w:rFonts w:ascii="Arial" w:cs="Arial" w:eastAsia="Arial" w:hAnsi="Arial"/>
          <w:b w:val="1"/>
          <w:color w:val="000000"/>
          <w:sz w:val="24"/>
          <w:szCs w:val="24"/>
          <w:rtl w:val="0"/>
        </w:rPr>
        <w:t xml:space="preserve">PAST</w:t>
      </w:r>
      <w:r w:rsidDel="00000000" w:rsidR="00000000" w:rsidRPr="00000000">
        <w:rPr>
          <w:rFonts w:ascii="Arial" w:cs="Arial" w:eastAsia="Arial" w:hAnsi="Arial"/>
          <w:b w:val="0"/>
          <w:color w:val="000000"/>
          <w:sz w:val="24"/>
          <w:szCs w:val="24"/>
          <w:rtl w:val="0"/>
        </w:rPr>
        <w:t xml:space="preserve"> questions about it. If the prompt doesn’t answer a question, infer an answer.</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The Chinese celebrate New Year with a dragon dance. How do you celebrate New Year? What other special days do you observe? In an essay, explain a celebration or ritual that you know about. Tell what is usually done and why. Explain it to a reader who is new to the event.</w:t>
      </w:r>
    </w:p>
    <w:p w:rsidR="00000000" w:rsidDel="00000000" w:rsidP="00000000" w:rsidRDefault="00000000" w:rsidRPr="00000000">
      <w:pPr>
        <w:numPr>
          <w:ilvl w:val="0"/>
          <w:numId w:val="4"/>
        </w:numPr>
        <w:spacing w:after="100" w:before="100" w:line="240" w:lineRule="auto"/>
        <w:ind w:left="720" w:hanging="360"/>
        <w:rPr/>
      </w:pPr>
      <w:r w:rsidDel="00000000" w:rsidR="00000000" w:rsidRPr="00000000">
        <w:rPr>
          <w:rFonts w:ascii="Arial" w:cs="Arial" w:eastAsia="Arial" w:hAnsi="Arial"/>
          <w:sz w:val="24"/>
          <w:szCs w:val="24"/>
          <w:rtl w:val="0"/>
        </w:rPr>
        <w:t xml:space="preserve">Purpose?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1"/>
        </w:numPr>
        <w:spacing w:after="100" w:before="100" w:line="240" w:lineRule="auto"/>
        <w:ind w:left="720" w:hanging="360"/>
        <w:rPr/>
      </w:pPr>
      <w:r w:rsidDel="00000000" w:rsidR="00000000" w:rsidRPr="00000000">
        <w:rPr>
          <w:rFonts w:ascii="Arial" w:cs="Arial" w:eastAsia="Arial" w:hAnsi="Arial"/>
          <w:sz w:val="24"/>
          <w:szCs w:val="24"/>
          <w:rtl w:val="0"/>
        </w:rPr>
        <w:t xml:space="preserve">Audience?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100" w:before="100" w:line="240" w:lineRule="auto"/>
        <w:ind w:left="720" w:hanging="360"/>
        <w:rPr/>
      </w:pPr>
      <w:r w:rsidDel="00000000" w:rsidR="00000000" w:rsidRPr="00000000">
        <w:rPr>
          <w:rFonts w:ascii="Arial" w:cs="Arial" w:eastAsia="Arial" w:hAnsi="Arial"/>
          <w:sz w:val="24"/>
          <w:szCs w:val="24"/>
          <w:rtl w:val="0"/>
        </w:rPr>
        <w:t xml:space="preserve">Subject?</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3"/>
        </w:numPr>
        <w:spacing w:after="100" w:before="100" w:line="240" w:lineRule="auto"/>
        <w:ind w:left="720" w:hanging="360"/>
        <w:rPr/>
      </w:pPr>
      <w:r w:rsidDel="00000000" w:rsidR="00000000" w:rsidRPr="00000000">
        <w:rPr>
          <w:rFonts w:ascii="Arial" w:cs="Arial" w:eastAsia="Arial" w:hAnsi="Arial"/>
          <w:sz w:val="24"/>
          <w:szCs w:val="24"/>
          <w:rtl w:val="0"/>
        </w:rPr>
        <w:t xml:space="preserve">Type?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The essay “The Game’s the Thing” explains how games can help teach. What games do you like? Choose a game, write an essay that explains it to someone new, and tell what the game teaches. Use a teaching voice to help others learn the game and want to play it.</w:t>
      </w:r>
    </w:p>
    <w:p w:rsidR="00000000" w:rsidDel="00000000" w:rsidP="00000000" w:rsidRDefault="00000000" w:rsidRPr="00000000">
      <w:pPr>
        <w:numPr>
          <w:ilvl w:val="0"/>
          <w:numId w:val="4"/>
        </w:numPr>
        <w:spacing w:after="100" w:before="100" w:line="240" w:lineRule="auto"/>
        <w:ind w:left="720" w:hanging="360"/>
        <w:rPr/>
      </w:pPr>
      <w:r w:rsidDel="00000000" w:rsidR="00000000" w:rsidRPr="00000000">
        <w:rPr>
          <w:rFonts w:ascii="Arial" w:cs="Arial" w:eastAsia="Arial" w:hAnsi="Arial"/>
          <w:sz w:val="24"/>
          <w:szCs w:val="24"/>
          <w:rtl w:val="0"/>
        </w:rPr>
        <w:t xml:space="preserve">Purpose?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1"/>
        </w:numPr>
        <w:spacing w:after="100" w:before="100" w:line="240" w:lineRule="auto"/>
        <w:ind w:left="720" w:hanging="360"/>
        <w:rPr/>
      </w:pPr>
      <w:r w:rsidDel="00000000" w:rsidR="00000000" w:rsidRPr="00000000">
        <w:rPr>
          <w:rFonts w:ascii="Arial" w:cs="Arial" w:eastAsia="Arial" w:hAnsi="Arial"/>
          <w:sz w:val="24"/>
          <w:szCs w:val="24"/>
          <w:rtl w:val="0"/>
        </w:rPr>
        <w:t xml:space="preserve">Audience?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100" w:before="100" w:line="240" w:lineRule="auto"/>
        <w:ind w:left="720" w:hanging="360"/>
        <w:rPr/>
      </w:pPr>
      <w:r w:rsidDel="00000000" w:rsidR="00000000" w:rsidRPr="00000000">
        <w:rPr>
          <w:rFonts w:ascii="Arial" w:cs="Arial" w:eastAsia="Arial" w:hAnsi="Arial"/>
          <w:sz w:val="24"/>
          <w:szCs w:val="24"/>
          <w:rtl w:val="0"/>
        </w:rPr>
        <w:t xml:space="preserve">Subject?</w:t>
      </w:r>
    </w:p>
    <w:p w:rsidR="00000000" w:rsidDel="00000000" w:rsidP="00000000" w:rsidRDefault="00000000" w:rsidRPr="00000000">
      <w:pPr>
        <w:spacing w:after="100" w:before="100" w:line="240" w:lineRule="auto"/>
        <w:contextualSpacing w:val="0"/>
      </w:pPr>
      <w:bookmarkStart w:colFirst="0" w:colLast="0" w:name="_gjdgxs" w:id="0"/>
      <w:bookmarkEnd w:id="0"/>
      <w:r w:rsidDel="00000000" w:rsidR="00000000" w:rsidRPr="00000000">
        <w:rPr>
          <w:rtl w:val="0"/>
        </w:rPr>
      </w:r>
    </w:p>
    <w:p w:rsidR="00000000" w:rsidDel="00000000" w:rsidP="00000000" w:rsidRDefault="00000000" w:rsidRPr="00000000">
      <w:pPr>
        <w:numPr>
          <w:ilvl w:val="0"/>
          <w:numId w:val="3"/>
        </w:numPr>
        <w:spacing w:after="100" w:before="100" w:line="240" w:lineRule="auto"/>
        <w:ind w:left="720" w:hanging="360"/>
        <w:rPr/>
      </w:pPr>
      <w:r w:rsidDel="00000000" w:rsidR="00000000" w:rsidRPr="00000000">
        <w:rPr>
          <w:rFonts w:ascii="Arial" w:cs="Arial" w:eastAsia="Arial" w:hAnsi="Arial"/>
          <w:sz w:val="24"/>
          <w:szCs w:val="24"/>
          <w:rtl w:val="0"/>
        </w:rPr>
        <w:t xml:space="preserve">Type?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rtl w:val="0"/>
        </w:rPr>
        <w:t xml:space="preserve">You’ve read about the origin of pizza. What is your favorite food? How is it made? Why do you like it? Write an essay that names your favorite food, describes the ingredients, explains how it is made, and gives sensory details about it. Make your readers’ mouths water!</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4"/>
        </w:numPr>
        <w:spacing w:after="100" w:before="100" w:line="240" w:lineRule="auto"/>
        <w:ind w:left="720" w:hanging="360"/>
        <w:rPr/>
      </w:pPr>
      <w:r w:rsidDel="00000000" w:rsidR="00000000" w:rsidRPr="00000000">
        <w:rPr>
          <w:rFonts w:ascii="Arial" w:cs="Arial" w:eastAsia="Arial" w:hAnsi="Arial"/>
          <w:sz w:val="24"/>
          <w:szCs w:val="24"/>
          <w:rtl w:val="0"/>
        </w:rPr>
        <w:t xml:space="preserve">Purpose?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1"/>
        </w:numPr>
        <w:spacing w:after="100" w:before="100" w:line="240" w:lineRule="auto"/>
        <w:ind w:left="720" w:hanging="360"/>
        <w:rPr/>
      </w:pPr>
      <w:r w:rsidDel="00000000" w:rsidR="00000000" w:rsidRPr="00000000">
        <w:rPr>
          <w:rFonts w:ascii="Arial" w:cs="Arial" w:eastAsia="Arial" w:hAnsi="Arial"/>
          <w:sz w:val="24"/>
          <w:szCs w:val="24"/>
          <w:rtl w:val="0"/>
        </w:rPr>
        <w:t xml:space="preserve">Audience?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100" w:before="100" w:line="240" w:lineRule="auto"/>
        <w:ind w:left="720" w:hanging="360"/>
        <w:rPr/>
      </w:pPr>
      <w:r w:rsidDel="00000000" w:rsidR="00000000" w:rsidRPr="00000000">
        <w:rPr>
          <w:rFonts w:ascii="Arial" w:cs="Arial" w:eastAsia="Arial" w:hAnsi="Arial"/>
          <w:sz w:val="24"/>
          <w:szCs w:val="24"/>
          <w:rtl w:val="0"/>
        </w:rPr>
        <w:t xml:space="preserve">Subject?</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3"/>
        </w:numPr>
        <w:spacing w:after="100" w:before="100" w:line="240" w:lineRule="auto"/>
        <w:ind w:left="720" w:hanging="360"/>
        <w:rPr/>
      </w:pPr>
      <w:r w:rsidDel="00000000" w:rsidR="00000000" w:rsidRPr="00000000">
        <w:rPr>
          <w:rFonts w:ascii="Arial" w:cs="Arial" w:eastAsia="Arial" w:hAnsi="Arial"/>
          <w:sz w:val="24"/>
          <w:szCs w:val="24"/>
          <w:rtl w:val="0"/>
        </w:rPr>
        <w:t xml:space="preserve">Type?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 </w:t>
      </w:r>
      <w:hyperlink r:id="rId5">
        <w:r w:rsidDel="00000000" w:rsidR="00000000" w:rsidRPr="00000000">
          <w:rPr>
            <w:rFonts w:ascii="Arial" w:cs="Arial" w:eastAsia="Arial" w:hAnsi="Arial"/>
            <w:color w:val="0563c1"/>
            <w:u w:val="single"/>
            <w:rtl w:val="0"/>
          </w:rPr>
          <w:t xml:space="preserve">Thoughtful Learning</w:t>
        </w:r>
      </w:hyperlink>
      <w:r w:rsidDel="00000000" w:rsidR="00000000" w:rsidRPr="00000000">
        <w:rPr>
          <w:rFonts w:ascii="Arial" w:cs="Arial" w:eastAsia="Arial" w:hAnsi="Arial"/>
          <w:rtl w:val="0"/>
        </w:rPr>
        <w:tab/>
        <w:tab/>
        <w:t xml:space="preserve">From </w:t>
      </w:r>
      <w:hyperlink r:id="rId6">
        <w:r w:rsidDel="00000000" w:rsidR="00000000" w:rsidRPr="00000000">
          <w:rPr>
            <w:rFonts w:ascii="Arial" w:cs="Arial" w:eastAsia="Arial" w:hAnsi="Arial"/>
            <w:color w:val="0563c1"/>
            <w:u w:val="single"/>
            <w:rtl w:val="0"/>
          </w:rPr>
          <w:t xml:space="preserve">Writers Express</w:t>
        </w:r>
      </w:hyperlink>
      <w:r w:rsidDel="00000000" w:rsidR="00000000" w:rsidRPr="00000000">
        <w:rPr>
          <w:rFonts w:ascii="Arial" w:cs="Arial" w:eastAsia="Arial" w:hAnsi="Arial"/>
          <w:rtl w:val="0"/>
        </w:rPr>
        <w:t xml:space="preserve"> and </w:t>
      </w:r>
      <w:hyperlink r:id="rId7">
        <w:r w:rsidDel="00000000" w:rsidR="00000000" w:rsidRPr="00000000">
          <w:rPr>
            <w:rFonts w:ascii="Arial" w:cs="Arial" w:eastAsia="Arial" w:hAnsi="Arial"/>
            <w:color w:val="1155cc"/>
            <w:u w:val="single"/>
            <w:rtl w:val="0"/>
          </w:rPr>
          <w:t xml:space="preserve">Reading/Writing Assessment</w:t>
        </w:r>
      </w:hyperlink>
      <w:hyperlink r:id="rId8">
        <w:r w:rsidDel="00000000" w:rsidR="00000000" w:rsidRPr="00000000">
          <w:rPr>
            <w:rtl w:val="0"/>
          </w:rPr>
        </w:r>
      </w:hyperlink>
    </w:p>
    <w:p w:rsidR="00000000" w:rsidDel="00000000" w:rsidP="00000000" w:rsidRDefault="00000000" w:rsidRPr="00000000">
      <w:pPr>
        <w:contextualSpacing w:val="0"/>
      </w:pPr>
      <w:hyperlink r:id="rId9">
        <w:r w:rsidDel="00000000" w:rsidR="00000000" w:rsidRPr="00000000">
          <w:rPr>
            <w:rtl w:val="0"/>
          </w:rPr>
        </w:r>
      </w:hyperlink>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k12.thoughtfullearning.com/products/reading-and-writing-information-assessment" TargetMode="External"/><Relationship Id="rId5" Type="http://schemas.openxmlformats.org/officeDocument/2006/relationships/hyperlink" Target="https://k12.thoughtfullearning.com" TargetMode="External"/><Relationship Id="rId6" Type="http://schemas.openxmlformats.org/officeDocument/2006/relationships/hyperlink" Target="https://k12.thoughtfullearning.com/products/writers-express" TargetMode="External"/><Relationship Id="rId7" Type="http://schemas.openxmlformats.org/officeDocument/2006/relationships/hyperlink" Target="https://k12.thoughtfullearning.com/products/reading-and-writing-assessment" TargetMode="External"/><Relationship Id="rId8" Type="http://schemas.openxmlformats.org/officeDocument/2006/relationships/hyperlink" Target="https://k12.thoughtfullearning.com/products/reading-and-writing-information-assessment" TargetMode="External"/></Relationships>
</file>