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Arial" w:cs="Arial" w:eastAsia="Arial" w:hAnsi="Arial"/>
          <w:b w:val="1"/>
          <w:sz w:val="40"/>
          <w:szCs w:val="40"/>
          <w:rtl w:val="0"/>
        </w:rPr>
        <w:t xml:space="preserve">Reading and Writing for Assessment</w:t>
      </w:r>
    </w:p>
    <w:p w:rsidR="00000000" w:rsidDel="00000000" w:rsidP="00000000" w:rsidRDefault="00000000" w:rsidRPr="00000000">
      <w:pPr>
        <w:spacing w:after="180" w:before="0" w:line="259" w:lineRule="auto"/>
        <w:contextualSpacing w:val="0"/>
      </w:pPr>
      <w:r w:rsidDel="00000000" w:rsidR="00000000" w:rsidRPr="00000000">
        <w:rPr>
          <w:rFonts w:ascii="Arial" w:cs="Arial" w:eastAsia="Arial" w:hAnsi="Arial"/>
          <w:b w:val="1"/>
          <w:color w:val="000000"/>
          <w:sz w:val="32"/>
          <w:szCs w:val="32"/>
          <w:rtl w:val="0"/>
        </w:rPr>
        <w:t xml:space="preserve">Finding </w:t>
      </w:r>
      <w:r w:rsidDel="00000000" w:rsidR="00000000" w:rsidRPr="00000000">
        <w:rPr>
          <w:rFonts w:ascii="Arial" w:cs="Arial" w:eastAsia="Arial" w:hAnsi="Arial"/>
          <w:b w:val="0"/>
          <w:color w:val="000000"/>
          <w:sz w:val="32"/>
          <w:szCs w:val="32"/>
          <w:rtl w:val="0"/>
        </w:rPr>
        <w:t xml:space="preserve">Supporting Details</w:t>
      </w:r>
      <w:r w:rsidDel="00000000" w:rsidR="00000000" w:rsidRPr="00000000">
        <w:rPr>
          <w:rtl w:val="0"/>
        </w:rPr>
      </w:r>
    </w:p>
    <w:tbl>
      <w:tblPr>
        <w:tblStyle w:val="Table1"/>
        <w:bidi w:val="0"/>
        <w:tblW w:w="9450.0" w:type="dxa"/>
        <w:jc w:val="left"/>
        <w:tblInd w:w="-2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950"/>
        <w:gridCol w:w="990"/>
        <w:gridCol w:w="2160"/>
        <w:tblGridChange w:id="0">
          <w:tblGrid>
            <w:gridCol w:w="1350"/>
            <w:gridCol w:w="4950"/>
            <w:gridCol w:w="990"/>
            <w:gridCol w:w="2160"/>
          </w:tblGrid>
        </w:tblGridChange>
      </w:tblGrid>
      <w:tr>
        <w:trPr>
          <w:trHeight w:val="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Student:</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pPr>
              <w:contextualSpacing w:val="0"/>
            </w:pPr>
            <w:r w:rsidDel="00000000" w:rsidR="00000000" w:rsidRPr="00000000">
              <w:rPr>
                <w:rFonts w:ascii="Arial" w:cs="Arial" w:eastAsia="Arial" w:hAnsi="Arial"/>
                <w:sz w:val="24"/>
                <w:szCs w:val="24"/>
                <w:rtl w:val="0"/>
              </w:rPr>
              <w:t xml:space="preserve">Date:</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1"/>
          <w:color w:val="000000"/>
          <w:sz w:val="24"/>
          <w:szCs w:val="24"/>
          <w:rtl w:val="0"/>
        </w:rPr>
        <w:t xml:space="preserve">Find supporting details.</w:t>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Fonts w:ascii="Arial" w:cs="Arial" w:eastAsia="Arial" w:hAnsi="Arial"/>
          <w:b w:val="0"/>
          <w:color w:val="000000"/>
          <w:sz w:val="24"/>
          <w:szCs w:val="24"/>
          <w:rtl w:val="0"/>
        </w:rPr>
        <w:t xml:space="preserve">Read the paragraph. Write down one supporting detail for each type listed after the paragraph.</w:t>
      </w:r>
      <w:r w:rsidDel="00000000" w:rsidR="00000000" w:rsidRPr="00000000">
        <w:rPr>
          <w:rtl w:val="0"/>
        </w:rPr>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0" w:line="259" w:lineRule="auto"/>
        <w:ind w:left="450" w:firstLine="0"/>
        <w:contextualSpacing w:val="0"/>
        <w:jc w:val="both"/>
      </w:pPr>
      <w:bookmarkStart w:colFirst="0" w:colLast="0" w:name="_gjdgxs" w:id="0"/>
      <w:bookmarkEnd w:id="0"/>
      <w:r w:rsidDel="00000000" w:rsidR="00000000" w:rsidRPr="00000000">
        <w:rPr>
          <w:rFonts w:ascii="Arial" w:cs="Arial" w:eastAsia="Arial" w:hAnsi="Arial"/>
          <w:b w:val="0"/>
          <w:color w:val="000000"/>
          <w:sz w:val="24"/>
          <w:szCs w:val="24"/>
          <w:rtl w:val="0"/>
        </w:rPr>
        <w:t xml:space="preserve">Pizza may be seem like a modern food, but it has a long history. Throughout the ancient world, cultures created flat breads and added seasoning to make them tastier. The word “pizza” first referred to such a spiced bread in 997 C.E. in Gaeta, Italy. Pizza as we know it didn’t begin until the New-World tomato was introduced to Italy in the sixteenth century. At that point, it was a street food for the poor. In 1889, a chef made a pizza for Margherita, the Queen consort of Italy, using red tomato, white mozzarella, and green basil to represent the Italian flag. Modern pizza was born. Luciano DeCresenzo once said, “Neapolitans have always had their fast food. It’s called pizza.”</w:t>
      </w:r>
      <w:r w:rsidDel="00000000" w:rsidR="00000000" w:rsidRPr="00000000">
        <w:rPr>
          <w:rtl w:val="0"/>
        </w:rPr>
      </w:r>
    </w:p>
    <w:p w:rsidR="00000000" w:rsidDel="00000000" w:rsidP="00000000" w:rsidRDefault="00000000" w:rsidRPr="00000000">
      <w:pPr>
        <w:numPr>
          <w:ilvl w:val="0"/>
          <w:numId w:val="1"/>
        </w:numPr>
        <w:spacing w:after="100" w:before="100" w:line="240" w:lineRule="auto"/>
        <w:ind w:left="720" w:hanging="360"/>
        <w:rPr/>
      </w:pPr>
      <w:r w:rsidDel="00000000" w:rsidR="00000000" w:rsidRPr="00000000">
        <w:rPr>
          <w:rFonts w:ascii="Arial" w:cs="Arial" w:eastAsia="Arial" w:hAnsi="Arial"/>
          <w:b w:val="1"/>
          <w:sz w:val="24"/>
          <w:szCs w:val="24"/>
          <w:rtl w:val="0"/>
        </w:rPr>
        <w:t xml:space="preserve">Facts</w:t>
      </w:r>
      <w:r w:rsidDel="00000000" w:rsidR="00000000" w:rsidRPr="00000000">
        <w:rPr>
          <w:rFonts w:ascii="Arial" w:cs="Arial" w:eastAsia="Arial" w:hAnsi="Arial"/>
          <w:sz w:val="24"/>
          <w:szCs w:val="24"/>
          <w:rtl w:val="0"/>
        </w:rPr>
        <w:t xml:space="preserve"> are ideas that can be proven to be true.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2"/>
        </w:numPr>
        <w:spacing w:after="100" w:before="100" w:line="240" w:lineRule="auto"/>
        <w:ind w:left="720" w:hanging="360"/>
        <w:rPr/>
      </w:pPr>
      <w:r w:rsidDel="00000000" w:rsidR="00000000" w:rsidRPr="00000000">
        <w:rPr>
          <w:rFonts w:ascii="Arial" w:cs="Arial" w:eastAsia="Arial" w:hAnsi="Arial"/>
          <w:b w:val="1"/>
          <w:sz w:val="24"/>
          <w:szCs w:val="24"/>
          <w:rtl w:val="0"/>
        </w:rPr>
        <w:t xml:space="preserve">Definitions</w:t>
      </w:r>
      <w:r w:rsidDel="00000000" w:rsidR="00000000" w:rsidRPr="00000000">
        <w:rPr>
          <w:rFonts w:ascii="Arial" w:cs="Arial" w:eastAsia="Arial" w:hAnsi="Arial"/>
          <w:sz w:val="24"/>
          <w:szCs w:val="24"/>
          <w:rtl w:val="0"/>
        </w:rPr>
        <w:t xml:space="preserve"> tell what a word means.</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3"/>
        </w:numPr>
        <w:spacing w:after="100" w:before="100" w:line="240" w:lineRule="auto"/>
        <w:ind w:left="720" w:hanging="360"/>
        <w:rPr/>
      </w:pPr>
      <w:r w:rsidDel="00000000" w:rsidR="00000000" w:rsidRPr="00000000">
        <w:rPr>
          <w:rFonts w:ascii="Arial" w:cs="Arial" w:eastAsia="Arial" w:hAnsi="Arial"/>
          <w:b w:val="1"/>
          <w:sz w:val="24"/>
          <w:szCs w:val="24"/>
          <w:rtl w:val="0"/>
        </w:rPr>
        <w:t xml:space="preserve">Examples</w:t>
      </w:r>
      <w:r w:rsidDel="00000000" w:rsidR="00000000" w:rsidRPr="00000000">
        <w:rPr>
          <w:rFonts w:ascii="Arial" w:cs="Arial" w:eastAsia="Arial" w:hAnsi="Arial"/>
          <w:sz w:val="24"/>
          <w:szCs w:val="24"/>
          <w:rtl w:val="0"/>
        </w:rPr>
        <w:t xml:space="preserve"> show how an idea works in a specific situation.</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4"/>
        </w:numPr>
        <w:spacing w:after="100" w:before="100" w:line="240" w:lineRule="auto"/>
        <w:ind w:left="720" w:hanging="360"/>
        <w:rPr/>
      </w:pPr>
      <w:r w:rsidDel="00000000" w:rsidR="00000000" w:rsidRPr="00000000">
        <w:rPr>
          <w:rFonts w:ascii="Arial" w:cs="Arial" w:eastAsia="Arial" w:hAnsi="Arial"/>
          <w:b w:val="1"/>
          <w:sz w:val="24"/>
          <w:szCs w:val="24"/>
          <w:rtl w:val="0"/>
        </w:rPr>
        <w:t xml:space="preserve">Descriptions</w:t>
      </w:r>
      <w:r w:rsidDel="00000000" w:rsidR="00000000" w:rsidRPr="00000000">
        <w:rPr>
          <w:rFonts w:ascii="Arial" w:cs="Arial" w:eastAsia="Arial" w:hAnsi="Arial"/>
          <w:sz w:val="24"/>
          <w:szCs w:val="24"/>
          <w:rtl w:val="0"/>
        </w:rPr>
        <w:t xml:space="preserve"> tell what something looks, feels, sounds, tastes, or smells like.</w:t>
      </w:r>
    </w:p>
    <w:p w:rsidR="00000000" w:rsidDel="00000000" w:rsidP="00000000" w:rsidRDefault="00000000" w:rsidRPr="00000000">
      <w:pPr>
        <w:spacing w:after="100" w:before="100" w:line="240" w:lineRule="auto"/>
        <w:contextualSpacing w:val="0"/>
      </w:pPr>
      <w:r w:rsidDel="00000000" w:rsidR="00000000" w:rsidRPr="00000000">
        <w:rPr>
          <w:rtl w:val="0"/>
        </w:rPr>
      </w:r>
    </w:p>
    <w:p w:rsidR="00000000" w:rsidDel="00000000" w:rsidP="00000000" w:rsidRDefault="00000000" w:rsidRPr="00000000">
      <w:pPr>
        <w:numPr>
          <w:ilvl w:val="0"/>
          <w:numId w:val="5"/>
        </w:numPr>
        <w:spacing w:after="100" w:before="100" w:line="240" w:lineRule="auto"/>
        <w:ind w:left="720" w:hanging="360"/>
        <w:rPr/>
      </w:pPr>
      <w:r w:rsidDel="00000000" w:rsidR="00000000" w:rsidRPr="00000000">
        <w:rPr>
          <w:rFonts w:ascii="Arial" w:cs="Arial" w:eastAsia="Arial" w:hAnsi="Arial"/>
          <w:b w:val="1"/>
          <w:sz w:val="24"/>
          <w:szCs w:val="24"/>
          <w:rtl w:val="0"/>
        </w:rPr>
        <w:t xml:space="preserve">Quotations</w:t>
      </w:r>
      <w:r w:rsidDel="00000000" w:rsidR="00000000" w:rsidRPr="00000000">
        <w:rPr>
          <w:rFonts w:ascii="Arial" w:cs="Arial" w:eastAsia="Arial" w:hAnsi="Arial"/>
          <w:sz w:val="24"/>
          <w:szCs w:val="24"/>
          <w:rtl w:val="0"/>
        </w:rPr>
        <w:t xml:space="preserve"> give the exact words of someone.</w:t>
      </w:r>
    </w:p>
    <w:p w:rsidR="00000000" w:rsidDel="00000000" w:rsidP="00000000" w:rsidRDefault="00000000" w:rsidRPr="00000000">
      <w:pPr>
        <w:tabs>
          <w:tab w:val="left" w:pos="450"/>
        </w:tabs>
        <w:spacing w:after="90" w:before="0" w:line="259" w:lineRule="auto"/>
        <w:ind w:firstLine="0"/>
        <w:contextualSpacing w:val="0"/>
        <w:jc w:val="both"/>
      </w:pPr>
      <w:r w:rsidDel="00000000" w:rsidR="00000000" w:rsidRPr="00000000">
        <w:rPr>
          <w:rtl w:val="0"/>
        </w:rPr>
      </w:r>
    </w:p>
    <w:p w:rsidR="00000000" w:rsidDel="00000000" w:rsidP="00000000" w:rsidRDefault="00000000" w:rsidRPr="00000000">
      <w:pPr>
        <w:tabs>
          <w:tab w:val="left" w:pos="450"/>
        </w:tabs>
        <w:spacing w:after="90" w:before="86" w:line="259"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rtl w:val="0"/>
        </w:rPr>
        <w:t xml:space="preserve">© </w:t>
      </w:r>
      <w:hyperlink r:id="rId5">
        <w:r w:rsidDel="00000000" w:rsidR="00000000" w:rsidRPr="00000000">
          <w:rPr>
            <w:rFonts w:ascii="Arial" w:cs="Arial" w:eastAsia="Arial" w:hAnsi="Arial"/>
            <w:color w:val="0563c1"/>
            <w:u w:val="single"/>
            <w:rtl w:val="0"/>
          </w:rPr>
          <w:t xml:space="preserve">Thoughtful Learning</w:t>
        </w:r>
      </w:hyperlink>
      <w:r w:rsidDel="00000000" w:rsidR="00000000" w:rsidRPr="00000000">
        <w:rPr>
          <w:rFonts w:ascii="Arial" w:cs="Arial" w:eastAsia="Arial" w:hAnsi="Arial"/>
          <w:rtl w:val="0"/>
        </w:rPr>
        <w:tab/>
        <w:tab/>
        <w:t xml:space="preserve">From </w:t>
      </w:r>
      <w:hyperlink r:id="rId6">
        <w:r w:rsidDel="00000000" w:rsidR="00000000" w:rsidRPr="00000000">
          <w:rPr>
            <w:rFonts w:ascii="Arial" w:cs="Arial" w:eastAsia="Arial" w:hAnsi="Arial"/>
            <w:color w:val="0563c1"/>
            <w:u w:val="single"/>
            <w:rtl w:val="0"/>
          </w:rPr>
          <w:t xml:space="preserve">Writers Express</w:t>
        </w:r>
      </w:hyperlink>
      <w:r w:rsidDel="00000000" w:rsidR="00000000" w:rsidRPr="00000000">
        <w:rPr>
          <w:rFonts w:ascii="Arial" w:cs="Arial" w:eastAsia="Arial" w:hAnsi="Arial"/>
          <w:rtl w:val="0"/>
        </w:rPr>
        <w:t xml:space="preserve"> and </w:t>
      </w:r>
      <w:hyperlink r:id="rId7">
        <w:r w:rsidDel="00000000" w:rsidR="00000000" w:rsidRPr="00000000">
          <w:rPr>
            <w:rFonts w:ascii="Arial" w:cs="Arial" w:eastAsia="Arial" w:hAnsi="Arial"/>
            <w:color w:val="1155cc"/>
            <w:u w:val="single"/>
            <w:rtl w:val="0"/>
          </w:rPr>
          <w:t xml:space="preserve">Reading/Writing Assessment</w:t>
        </w:r>
      </w:hyperlink>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rtl w:val="0"/>
          </w:rPr>
        </w:r>
      </w:hyperlink>
    </w:p>
    <w:p w:rsidR="00000000" w:rsidDel="00000000" w:rsidP="00000000" w:rsidRDefault="00000000" w:rsidRPr="00000000">
      <w:pPr>
        <w:contextualSpacing w:val="0"/>
      </w:pPr>
      <w:hyperlink r:id="rId9">
        <w:r w:rsidDel="00000000" w:rsidR="00000000" w:rsidRPr="00000000">
          <w:rPr>
            <w:rtl w:val="0"/>
          </w:rPr>
        </w:r>
      </w:hyperlink>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3">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4">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abstractNum w:abstractNumId="5">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k12.thoughtfullearning.com/products/reading-and-writing-information-assessment" TargetMode="External"/><Relationship Id="rId5" Type="http://schemas.openxmlformats.org/officeDocument/2006/relationships/hyperlink" Target="https://k12.thoughtfullearning.com" TargetMode="External"/><Relationship Id="rId6" Type="http://schemas.openxmlformats.org/officeDocument/2006/relationships/hyperlink" Target="https://k12.thoughtfullearning.com/products/writers-express" TargetMode="External"/><Relationship Id="rId7" Type="http://schemas.openxmlformats.org/officeDocument/2006/relationships/hyperlink" Target="https://k12.thoughtfullearning.com/products/reading-and-writing-assessment" TargetMode="External"/><Relationship Id="rId8" Type="http://schemas.openxmlformats.org/officeDocument/2006/relationships/hyperlink" Target="https://k12.thoughtfullearning.com/products/reading-and-writing-information-assessment" TargetMode="External"/></Relationships>
</file>